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956" w:rsidRDefault="00C6115F">
      <w:pPr>
        <w:spacing w:after="0" w:line="259" w:lineRule="auto"/>
        <w:ind w:right="-11"/>
        <w:jc w:val="right"/>
      </w:pPr>
      <w:r>
        <w:rPr>
          <w:rFonts w:ascii="Arial" w:eastAsia="Arial" w:hAnsi="Arial" w:cs="Arial"/>
          <w:sz w:val="16"/>
        </w:rPr>
        <w:t xml:space="preserve">208 N. 12th Avenue </w:t>
      </w:r>
    </w:p>
    <w:p w:rsidR="000F2956" w:rsidRDefault="00C6115F">
      <w:pPr>
        <w:spacing w:after="0" w:line="216" w:lineRule="auto"/>
        <w:ind w:left="1189" w:firstLine="0"/>
      </w:pPr>
      <w:r>
        <w:rPr>
          <w:rFonts w:ascii="Arial" w:eastAsia="Arial" w:hAnsi="Arial" w:cs="Arial"/>
          <w:sz w:val="16"/>
        </w:rPr>
        <w:t xml:space="preserve">Eldridge, IA  52748 </w:t>
      </w:r>
      <w:r>
        <w:rPr>
          <w:rFonts w:ascii="Verdana" w:eastAsia="Verdana" w:hAnsi="Verdana" w:cs="Verdana"/>
          <w:color w:val="1F1A17"/>
          <w:sz w:val="39"/>
        </w:rPr>
        <w:t xml:space="preserve">Mehta Tech Inc. </w:t>
      </w:r>
      <w:r>
        <w:rPr>
          <w:rFonts w:ascii="Arial" w:eastAsia="Arial" w:hAnsi="Arial" w:cs="Arial"/>
          <w:sz w:val="16"/>
        </w:rPr>
        <w:t xml:space="preserve">Phone: (563) 285-9151 </w:t>
      </w:r>
    </w:p>
    <w:p w:rsidR="000F2956" w:rsidRDefault="00C6115F">
      <w:pPr>
        <w:spacing w:after="0" w:line="259" w:lineRule="auto"/>
        <w:ind w:right="-11"/>
        <w:jc w:val="right"/>
      </w:pPr>
      <w:r>
        <w:rPr>
          <w:rFonts w:ascii="Arial" w:eastAsia="Arial" w:hAnsi="Arial" w:cs="Arial"/>
          <w:sz w:val="16"/>
        </w:rPr>
        <w:t xml:space="preserve">Fax: (563) 285-7576 </w:t>
      </w:r>
    </w:p>
    <w:p w:rsidR="000F2956" w:rsidRDefault="00C6115F">
      <w:pPr>
        <w:spacing w:after="0" w:line="259" w:lineRule="auto"/>
        <w:ind w:right="-11"/>
        <w:jc w:val="right"/>
      </w:pPr>
      <w:r>
        <w:rPr>
          <w:rFonts w:ascii="Arial" w:eastAsia="Arial" w:hAnsi="Arial" w:cs="Arial"/>
          <w:sz w:val="16"/>
        </w:rPr>
        <w:t xml:space="preserve">www.mehtatech.com </w:t>
      </w:r>
    </w:p>
    <w:p w:rsidR="000F2956" w:rsidRDefault="00C6115F">
      <w:pPr>
        <w:spacing w:after="65" w:line="259" w:lineRule="auto"/>
        <w:ind w:left="54" w:firstLine="0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p w:rsidR="000F2956" w:rsidRDefault="00C6115F">
      <w:pPr>
        <w:spacing w:after="23" w:line="259" w:lineRule="auto"/>
        <w:ind w:left="62" w:firstLine="0"/>
        <w:jc w:val="center"/>
      </w:pPr>
      <w:r>
        <w:rPr>
          <w:b/>
          <w:sz w:val="28"/>
        </w:rPr>
        <w:t xml:space="preserve"> </w:t>
      </w:r>
    </w:p>
    <w:p w:rsidR="000F2956" w:rsidRDefault="00C6115F">
      <w:pPr>
        <w:spacing w:after="26" w:line="259" w:lineRule="auto"/>
        <w:jc w:val="center"/>
      </w:pPr>
      <w:r>
        <w:rPr>
          <w:b/>
          <w:sz w:val="28"/>
        </w:rPr>
        <w:t xml:space="preserve">Read Me </w:t>
      </w:r>
    </w:p>
    <w:p w:rsidR="000F2956" w:rsidRDefault="00C6115F">
      <w:pPr>
        <w:spacing w:after="163" w:line="259" w:lineRule="auto"/>
        <w:jc w:val="center"/>
      </w:pPr>
      <w:r>
        <w:rPr>
          <w:b/>
          <w:sz w:val="28"/>
        </w:rPr>
        <w:t xml:space="preserve">USB Interface Driver Selection </w:t>
      </w:r>
    </w:p>
    <w:p w:rsidR="000F2956" w:rsidRDefault="00C6115F">
      <w:pPr>
        <w:spacing w:after="215" w:line="259" w:lineRule="auto"/>
        <w:ind w:left="0" w:firstLine="0"/>
      </w:pPr>
      <w:r>
        <w:t xml:space="preserve"> </w:t>
      </w:r>
    </w:p>
    <w:p w:rsidR="000F2956" w:rsidRDefault="00C6115F">
      <w:pPr>
        <w:ind w:left="-5"/>
      </w:pPr>
      <w:r>
        <w:t xml:space="preserve">Mehta Tech provides three USB interface drivers.  Use the following information to determine which driver needs to be installed.  </w:t>
      </w:r>
    </w:p>
    <w:p w:rsidR="000F2956" w:rsidRDefault="00C6115F">
      <w:pPr>
        <w:spacing w:after="216" w:line="259" w:lineRule="auto"/>
        <w:ind w:left="0" w:firstLine="0"/>
      </w:pPr>
      <w:r>
        <w:t xml:space="preserve"> </w:t>
      </w:r>
    </w:p>
    <w:p w:rsidR="000F2956" w:rsidRDefault="00C6115F">
      <w:pPr>
        <w:ind w:left="-5"/>
      </w:pPr>
      <w:r>
        <w:t xml:space="preserve">If the equipment to be accessed is an IPCU 2 then browse to the folder named “DFR with </w:t>
      </w:r>
      <w:proofErr w:type="spellStart"/>
      <w:r>
        <w:t>RevB</w:t>
      </w:r>
      <w:proofErr w:type="spellEnd"/>
      <w:r>
        <w:t xml:space="preserve"> interface and IPCU 2 Console Port” and follow the installation procedure in that folder. </w:t>
      </w:r>
    </w:p>
    <w:p w:rsidR="000F2956" w:rsidRDefault="00C6115F">
      <w:pPr>
        <w:spacing w:after="215" w:line="259" w:lineRule="auto"/>
        <w:ind w:left="0" w:firstLine="0"/>
      </w:pPr>
      <w:r>
        <w:t xml:space="preserve"> </w:t>
      </w:r>
    </w:p>
    <w:p w:rsidR="000F2956" w:rsidRDefault="00C6115F">
      <w:pPr>
        <w:ind w:left="-5"/>
      </w:pPr>
      <w:r>
        <w:t xml:space="preserve">If the equipment to be accessed is a DFR Electronics chassis with the USB Rev B interface, see criteria below, then browse to the folder named “DFR with </w:t>
      </w:r>
      <w:proofErr w:type="spellStart"/>
      <w:r>
        <w:t>RevB</w:t>
      </w:r>
      <w:proofErr w:type="spellEnd"/>
      <w:r>
        <w:t xml:space="preserve"> interface and IPCU 2 Console Port” and follow the installation procedure in that folder. </w:t>
      </w:r>
    </w:p>
    <w:tbl>
      <w:tblPr>
        <w:tblStyle w:val="TableGrid"/>
        <w:tblpPr w:vertAnchor="page" w:horzAnchor="page" w:tblpX="1063" w:tblpY="697"/>
        <w:tblOverlap w:val="never"/>
        <w:tblW w:w="1131" w:type="dxa"/>
        <w:tblInd w:w="0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1131"/>
      </w:tblGrid>
      <w:tr w:rsidR="000F2956">
        <w:trPr>
          <w:trHeight w:val="26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1C3682"/>
          </w:tcPr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color w:val="131516"/>
                <w:sz w:val="5"/>
              </w:rPr>
              <w:t xml:space="preserve"> </w:t>
            </w:r>
          </w:p>
        </w:tc>
      </w:tr>
    </w:tbl>
    <w:p w:rsidR="000F2956" w:rsidRDefault="00C6115F">
      <w:pPr>
        <w:spacing w:after="7"/>
        <w:ind w:left="730" w:right="169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674941</wp:posOffset>
                </wp:positionH>
                <wp:positionV relativeFrom="page">
                  <wp:posOffset>635527</wp:posOffset>
                </wp:positionV>
                <wp:extent cx="717902" cy="215431"/>
                <wp:effectExtent l="0" t="0" r="0" b="0"/>
                <wp:wrapSquare wrapText="bothSides"/>
                <wp:docPr id="1496" name="Group 14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7902" cy="215431"/>
                          <a:chOff x="0" y="0"/>
                          <a:chExt cx="717902" cy="215431"/>
                        </a:xfrm>
                      </wpg:grpSpPr>
                      <wps:wsp>
                        <wps:cNvPr id="1759" name="Shape 1759"/>
                        <wps:cNvSpPr/>
                        <wps:spPr>
                          <a:xfrm>
                            <a:off x="498755" y="0"/>
                            <a:ext cx="219147" cy="215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147" h="215431">
                                <a:moveTo>
                                  <a:pt x="0" y="0"/>
                                </a:moveTo>
                                <a:lnTo>
                                  <a:pt x="219147" y="0"/>
                                </a:lnTo>
                                <a:lnTo>
                                  <a:pt x="219147" y="215431"/>
                                </a:lnTo>
                                <a:lnTo>
                                  <a:pt x="0" y="2154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C368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0" name="Shape 1760"/>
                        <wps:cNvSpPr/>
                        <wps:spPr>
                          <a:xfrm>
                            <a:off x="251985" y="0"/>
                            <a:ext cx="213942" cy="215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942" h="215431">
                                <a:moveTo>
                                  <a:pt x="0" y="0"/>
                                </a:moveTo>
                                <a:lnTo>
                                  <a:pt x="213942" y="0"/>
                                </a:lnTo>
                                <a:lnTo>
                                  <a:pt x="213942" y="215431"/>
                                </a:lnTo>
                                <a:lnTo>
                                  <a:pt x="0" y="2154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C368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1" name="Shape 1761"/>
                        <wps:cNvSpPr/>
                        <wps:spPr>
                          <a:xfrm>
                            <a:off x="0" y="0"/>
                            <a:ext cx="216550" cy="215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550" h="215431">
                                <a:moveTo>
                                  <a:pt x="0" y="0"/>
                                </a:moveTo>
                                <a:lnTo>
                                  <a:pt x="216550" y="0"/>
                                </a:lnTo>
                                <a:lnTo>
                                  <a:pt x="216550" y="215431"/>
                                </a:lnTo>
                                <a:lnTo>
                                  <a:pt x="0" y="2154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C368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E961D6" id="Group 1496" o:spid="_x0000_s1026" style="position:absolute;margin-left:53.15pt;margin-top:50.05pt;width:56.55pt;height:16.95pt;z-index:251658240;mso-position-horizontal-relative:page;mso-position-vertical-relative:page" coordsize="7179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">
                <v:shape id="Shape 1759" o:spid="_x0000_s1027" style="position:absolute;left:4987;width:2192;height:2154;visibility:visible;mso-wrap-style:square;v-text-anchor:top" coordsize="219147,215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KuTcIA&#10;AADdAAAADwAAAGRycy9kb3ducmV2LnhtbERP24rCMBB9F/yHMIIvi6YKu2o1igiCCwte8XloxrbY&#10;TEoSbf37zcKCb3M411msWlOJJzlfWlYwGiYgiDOrS84VXM7bwRSED8gaK8uk4EUeVstuZ4Gptg0f&#10;6XkKuYgh7FNUUIRQp1L6rCCDfmhr4sjdrDMYInS51A6bGG4qOU6SL2mw5NhQYE2bgrL76WEU1M3P&#10;bH+9yfvefb8Ou+umCh/5Vql+r13PQQRqw1v8797pOH/yOYO/b+IJ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kq5NwgAAAN0AAAAPAAAAAAAAAAAAAAAAAJgCAABkcnMvZG93&#10;bnJldi54bWxQSwUGAAAAAAQABAD1AAAAhwMAAAAA&#10;" path="m,l219147,r,215431l,215431,,e" fillcolor="#1c3682" stroked="f" strokeweight="0">
                  <v:stroke miterlimit="83231f" joinstyle="miter"/>
                  <v:path arrowok="t" textboxrect="0,0,219147,215431"/>
                </v:shape>
                <v:shape id="Shape 1760" o:spid="_x0000_s1028" style="position:absolute;left:2519;width:2140;height:2154;visibility:visible;mso-wrap-style:square;v-text-anchor:top" coordsize="213942,215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aqLscA&#10;AADdAAAADwAAAGRycy9kb3ducmV2LnhtbESPQWvCQBCF74X+h2UKvRTdWERLdBUV2kpvasXrkJ1k&#10;g9nZkF1N+u87h0JvM7w3732zXA++UXfqYh3YwGScgSIugq25MvB9eh+9gYoJ2WITmAz8UIT16vFh&#10;ibkNPR/ofkyVkhCOORpwKbW51rFw5DGOQ0ssWhk6j0nWrtK2w17CfaNfs2ymPdYsDQ5b2jkqrseb&#10;N7Cb7stsey4P88+P3l2np5evyeVmzPPTsFmASjSkf/Pf9d4K/nwm/PKNj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2qi7HAAAA3QAAAA8AAAAAAAAAAAAAAAAAmAIAAGRy&#10;cy9kb3ducmV2LnhtbFBLBQYAAAAABAAEAPUAAACMAwAAAAA=&#10;" path="m,l213942,r,215431l,215431,,e" fillcolor="#1c3682" stroked="f" strokeweight="0">
                  <v:stroke miterlimit="83231f" joinstyle="miter"/>
                  <v:path arrowok="t" textboxrect="0,0,213942,215431"/>
                </v:shape>
                <v:shape id="Shape 1761" o:spid="_x0000_s1029" style="position:absolute;width:2165;height:2154;visibility:visible;mso-wrap-style:square;v-text-anchor:top" coordsize="216550,215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lccEA&#10;AADdAAAADwAAAGRycy9kb3ducmV2LnhtbERPTWvDMAy9F/YfjAa7tU53aENWJ5TAYLe12ehZxFqc&#10;NpZDrLXZv58Lg930eJ/aVbMf1JWm2Ac2sF5loIjbYHvuDHx+vC5zUFGQLQ6BycAPRajKh8UOCxtu&#10;fKRrI51KIRwLNOBExkLr2DryGFdhJE7cV5g8SoJTp+2EtxTuB/2cZRvtsefU4HCk2lF7ab69gbPL&#10;6X0/1M226flQn1AO+SzGPD3O+xdQQrP8i//cbzbN327WcP8mna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opXHBAAAA3QAAAA8AAAAAAAAAAAAAAAAAmAIAAGRycy9kb3du&#10;cmV2LnhtbFBLBQYAAAAABAAEAPUAAACGAwAAAAA=&#10;" path="m,l216550,r,215431l,215431,,e" fillcolor="#1c3682" stroked="f" strokeweight="0">
                  <v:stroke miterlimit="83231f" joinstyle="miter"/>
                  <v:path arrowok="t" textboxrect="0,0,216550,215431"/>
                </v:shape>
                <w10:wrap type="square" anchorx="page" anchory="page"/>
              </v:group>
            </w:pict>
          </mc:Fallback>
        </mc:AlternateContent>
      </w:r>
      <w:r>
        <w:t xml:space="preserve">A DFR Electronics Chassis with the USB Rev B interface is identified as follows: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DFR Electronics Chassis has a serial number of 100544 or </w:t>
      </w:r>
      <w:proofErr w:type="gramStart"/>
      <w:r>
        <w:t xml:space="preserve">higher  </w:t>
      </w:r>
      <w:r>
        <w:rPr>
          <w:rFonts w:ascii="Segoe UI Symbol" w:eastAsia="Segoe UI Symbol" w:hAnsi="Segoe UI Symbol" w:cs="Segoe UI Symbol"/>
        </w:rPr>
        <w:t>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The rear of the DFR Electronics Chassis has a label reading: </w:t>
      </w:r>
    </w:p>
    <w:p w:rsidR="000F2956" w:rsidRDefault="00C6115F">
      <w:pPr>
        <w:spacing w:after="0" w:line="259" w:lineRule="auto"/>
        <w:ind w:left="0" w:right="109" w:firstLine="0"/>
      </w:pPr>
      <w:r>
        <w:t xml:space="preserve"> </w:t>
      </w:r>
    </w:p>
    <w:tbl>
      <w:tblPr>
        <w:tblStyle w:val="TableGrid"/>
        <w:tblW w:w="8730" w:type="dxa"/>
        <w:tblInd w:w="525" w:type="dxa"/>
        <w:tblCellMar>
          <w:top w:w="3" w:type="dxa"/>
          <w:right w:w="115" w:type="dxa"/>
        </w:tblCellMar>
        <w:tblLook w:val="04A0" w:firstRow="1" w:lastRow="0" w:firstColumn="1" w:lastColumn="0" w:noHBand="0" w:noVBand="1"/>
      </w:tblPr>
      <w:tblGrid>
        <w:gridCol w:w="3035"/>
        <w:gridCol w:w="720"/>
        <w:gridCol w:w="720"/>
        <w:gridCol w:w="720"/>
        <w:gridCol w:w="596"/>
        <w:gridCol w:w="845"/>
        <w:gridCol w:w="2094"/>
      </w:tblGrid>
      <w:tr w:rsidR="000F2956">
        <w:trPr>
          <w:trHeight w:val="496"/>
        </w:trPr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0F2956" w:rsidRDefault="00C6115F">
            <w:pPr>
              <w:spacing w:after="0" w:line="259" w:lineRule="auto"/>
              <w:ind w:left="155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  <w:p w:rsidR="000F2956" w:rsidRDefault="00C6115F">
            <w:pPr>
              <w:spacing w:after="0" w:line="259" w:lineRule="auto"/>
              <w:ind w:left="155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0F2956" w:rsidRDefault="00C6115F">
            <w:pPr>
              <w:spacing w:after="0" w:line="259" w:lineRule="auto"/>
              <w:ind w:left="125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F2956" w:rsidRDefault="00C6115F">
            <w:pPr>
              <w:spacing w:after="0" w:line="259" w:lineRule="auto"/>
              <w:ind w:left="125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9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Company </w:t>
            </w:r>
          </w:p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Substation </w:t>
            </w:r>
          </w:p>
        </w:tc>
      </w:tr>
      <w:tr w:rsidR="000F2956">
        <w:trPr>
          <w:trHeight w:val="229"/>
        </w:trPr>
        <w:tc>
          <w:tcPr>
            <w:tcW w:w="3035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F2956" w:rsidRDefault="00C6115F">
            <w:pPr>
              <w:spacing w:after="0" w:line="259" w:lineRule="auto"/>
              <w:ind w:left="155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TRANSCAN Recorder   . . .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0F2956" w:rsidRDefault="00C6115F">
            <w:pPr>
              <w:spacing w:after="0" w:line="259" w:lineRule="auto"/>
              <w:ind w:left="125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Purchase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Order.:  . . 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F2956">
        <w:trPr>
          <w:trHeight w:val="400"/>
        </w:trPr>
        <w:tc>
          <w:tcPr>
            <w:tcW w:w="30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F2956" w:rsidRDefault="00C6115F">
            <w:pPr>
              <w:spacing w:after="0" w:line="259" w:lineRule="auto"/>
              <w:ind w:left="155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Includes USB Interface Rev. B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0F2956" w:rsidRDefault="00C6115F">
            <w:pPr>
              <w:spacing w:after="0" w:line="259" w:lineRule="auto"/>
              <w:ind w:left="125" w:firstLine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F2956" w:rsidRDefault="00C6115F">
            <w:pPr>
              <w:spacing w:after="0" w:line="259" w:lineRule="auto"/>
              <w:ind w:left="0" w:firstLine="0"/>
            </w:pPr>
            <w:r>
              <w:rPr>
                <w:rFonts w:ascii="Times New Roman" w:eastAsia="Times New Roman" w:hAnsi="Times New Roman" w:cs="Times New Roman"/>
                <w:sz w:val="18"/>
              </w:rPr>
              <w:t>Job No.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:  . . 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</w:tbl>
    <w:p w:rsidR="000F2956" w:rsidRDefault="00C6115F">
      <w:pPr>
        <w:spacing w:after="215" w:line="259" w:lineRule="auto"/>
        <w:ind w:left="0" w:firstLine="0"/>
      </w:pPr>
      <w:r>
        <w:t xml:space="preserve"> </w:t>
      </w:r>
    </w:p>
    <w:p w:rsidR="000F2956" w:rsidRDefault="00C6115F">
      <w:pPr>
        <w:spacing w:after="169"/>
        <w:ind w:left="-5"/>
      </w:pPr>
      <w:r>
        <w:t>If the DFR Electronics Chassis was supplied prior to December 2016 or is one that does NOT match the above criteria, browse to the “USB Driver</w:t>
      </w:r>
      <w:r w:rsidR="00917C76">
        <w:t xml:space="preserve"> DFR with </w:t>
      </w:r>
      <w:proofErr w:type="spellStart"/>
      <w:r w:rsidR="00917C76">
        <w:t>RevA</w:t>
      </w:r>
      <w:proofErr w:type="spellEnd"/>
      <w:r w:rsidR="00917C76">
        <w:t xml:space="preserve"> interface</w:t>
      </w:r>
      <w:r>
        <w:t xml:space="preserve">” folder and follow the installation procedure.  </w:t>
      </w:r>
    </w:p>
    <w:p w:rsidR="000F2956" w:rsidRDefault="00C6115F" w:rsidP="00917C76">
      <w:pPr>
        <w:spacing w:after="2681" w:line="259" w:lineRule="auto"/>
        <w:ind w:left="0" w:firstLine="0"/>
      </w:pPr>
      <w:r>
        <w:rPr>
          <w:rFonts w:ascii="Arial" w:eastAsia="Arial" w:hAnsi="Arial" w:cs="Arial"/>
          <w:sz w:val="20"/>
        </w:rPr>
        <w:t xml:space="preserve"> </w:t>
      </w:r>
      <w:bookmarkStart w:id="0" w:name="_GoBack"/>
      <w:bookmarkEnd w:id="0"/>
    </w:p>
    <w:sectPr w:rsidR="000F2956">
      <w:pgSz w:w="12240" w:h="15840"/>
      <w:pgMar w:top="697" w:right="1796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56"/>
    <w:rsid w:val="000F2956"/>
    <w:rsid w:val="005772C8"/>
    <w:rsid w:val="00917C76"/>
    <w:rsid w:val="00C6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AFBFEA-B1EC-47A5-8E34-10E1F77D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93" w:line="283" w:lineRule="auto"/>
      <w:ind w:left="10" w:hanging="10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rgraham</dc:creator>
  <cp:keywords/>
  <cp:lastModifiedBy>Greg Wadsworth</cp:lastModifiedBy>
  <cp:revision>4</cp:revision>
  <cp:lastPrinted>2021-02-26T14:49:00Z</cp:lastPrinted>
  <dcterms:created xsi:type="dcterms:W3CDTF">2021-02-25T21:40:00Z</dcterms:created>
  <dcterms:modified xsi:type="dcterms:W3CDTF">2021-07-15T19:39:00Z</dcterms:modified>
</cp:coreProperties>
</file>